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8040A5A" w14:textId="7D5C2F60" w:rsidR="000C65E2" w:rsidRPr="00F6208D" w:rsidRDefault="00182F1A" w:rsidP="000C6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>Procedura negoziata</w:t>
      </w:r>
      <w:r w:rsidR="000C65E2" w:rsidRPr="000C65E2">
        <w:rPr>
          <w:rFonts w:ascii="Arial" w:hAnsi="Arial" w:cs="Arial"/>
          <w:b/>
          <w:bCs/>
        </w:rPr>
        <w:t xml:space="preserve"> </w:t>
      </w:r>
      <w:r w:rsidR="000C65E2" w:rsidRPr="00F6208D">
        <w:rPr>
          <w:rFonts w:ascii="Arial" w:hAnsi="Arial" w:cs="Arial"/>
          <w:b/>
          <w:bCs/>
        </w:rPr>
        <w:t>Procedura negoziata per l’affidamento della fornitura in locazione, per 36 mesi, con opzione di acquisto finale, di PC “All in One”, Surface Pro e Notebook.</w:t>
      </w:r>
    </w:p>
    <w:p w14:paraId="65D35496" w14:textId="402DDD2E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0C65E2" w:rsidRPr="00D234DE">
        <w:rPr>
          <w:rFonts w:ascii="Arial" w:hAnsi="Arial" w:cs="Arial"/>
          <w:b/>
          <w:bCs/>
        </w:rPr>
        <w:t>724089820F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</w:r>
            <w:r w:rsidR="00813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3975DD46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45073C05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0C65E2">
        <w:rPr>
          <w:rFonts w:ascii="Arial" w:hAnsi="Arial" w:cs="Arial"/>
          <w:i/>
          <w:sz w:val="20"/>
          <w:szCs w:val="20"/>
          <w:u w:val="single"/>
        </w:rPr>
        <w:t>)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13218">
        <w:rPr>
          <w:rFonts w:ascii="Arial" w:hAnsi="Arial" w:cs="Arial"/>
          <w:sz w:val="20"/>
          <w:szCs w:val="20"/>
        </w:rPr>
      </w:r>
      <w:r w:rsidR="0081321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75A0D751" w:rsidR="001A68C6" w:rsidRPr="00182F1A" w:rsidRDefault="00E271DF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19DFFD95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1F2533C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20BA260E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321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321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3n2yyMmV0QRadwAfb0GKCJJhjx38tsjmawacPgXaDxz+xPWQwkjUOrdJvrUrny+FE0kyFCCRifiu8rWxj6bqSA==" w:salt="iktDTaXfJc0vFMTLHOMb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5E2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3218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1DF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E65B-BBF3-4EC3-A185-707B0503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2017-10-18T10:44:00Z</dcterms:modified>
</cp:coreProperties>
</file>