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7A4552" w:rsidRPr="00E17032" w:rsidRDefault="007A4552" w:rsidP="007A4552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17032">
        <w:rPr>
          <w:rFonts w:ascii="Arial" w:eastAsiaTheme="minorHAnsi" w:hAnsi="Arial" w:cs="Arial"/>
          <w:b/>
          <w:sz w:val="20"/>
          <w:szCs w:val="20"/>
        </w:rPr>
        <w:t>REQUEST FOR PROPOSAL</w:t>
      </w:r>
      <w:r w:rsidRPr="00E1703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552" w:rsidRDefault="007A4552" w:rsidP="00E170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Avviso di ricerca di un</w:t>
      </w:r>
      <w:r w:rsidR="0039193D">
        <w:rPr>
          <w:rFonts w:ascii="Arial" w:hAnsi="Arial" w:cs="Arial"/>
          <w:b/>
          <w:bCs/>
          <w:sz w:val="20"/>
          <w:szCs w:val="20"/>
        </w:rPr>
        <w:t>o sponsor per il Comitato Olimpico Nazionale Italiano, ai sensi dell’articolo 19, comma 1, del D.Lgs. 50/2016, nel settore “</w:t>
      </w:r>
      <w:r w:rsidR="00FC49DA">
        <w:rPr>
          <w:rFonts w:ascii="Arial" w:hAnsi="Arial" w:cs="Arial"/>
          <w:b/>
          <w:bCs/>
          <w:sz w:val="20"/>
          <w:szCs w:val="20"/>
        </w:rPr>
        <w:t>Tonno in scatola</w:t>
      </w:r>
      <w:r w:rsidR="0039193D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B4E40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</w:r>
            <w:r w:rsidR="005A41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03FDE" w:rsidRDefault="00403FDE" w:rsidP="007A45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Interessata a formulare u</w:t>
      </w:r>
      <w:r w:rsidR="007A4552">
        <w:rPr>
          <w:rFonts w:ascii="Arial" w:hAnsi="Arial" w:cs="Arial"/>
          <w:sz w:val="20"/>
          <w:szCs w:val="20"/>
        </w:rPr>
        <w:t>na proposta di sponsorizzazione,</w:t>
      </w:r>
    </w:p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>, i soggetti muniti di poteri di 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</w:t>
      </w:r>
      <w:r w:rsidRPr="00A1504F">
        <w:rPr>
          <w:rFonts w:ascii="Arial" w:hAnsi="Arial" w:cs="Arial"/>
          <w:sz w:val="20"/>
          <w:szCs w:val="20"/>
        </w:rPr>
        <w:lastRenderedPageBreak/>
        <w:t xml:space="preserve">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:rsidTr="004516F4">
        <w:tc>
          <w:tcPr>
            <w:tcW w:w="2098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5A414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14D">
              <w:rPr>
                <w:rFonts w:ascii="Arial" w:hAnsi="Arial" w:cs="Arial"/>
                <w:sz w:val="14"/>
                <w:szCs w:val="14"/>
              </w:rPr>
            </w:r>
            <w:r w:rsidR="005A41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5A414D">
        <w:rPr>
          <w:rFonts w:ascii="Arial" w:hAnsi="Arial" w:cs="Arial"/>
          <w:sz w:val="20"/>
          <w:szCs w:val="20"/>
        </w:rPr>
      </w:r>
      <w:r w:rsidR="005A414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5A414D">
        <w:rPr>
          <w:rFonts w:ascii="Arial" w:hAnsi="Arial" w:cs="Arial"/>
          <w:sz w:val="20"/>
          <w:szCs w:val="20"/>
        </w:rPr>
      </w:r>
      <w:r w:rsidR="005A414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5A414D">
        <w:rPr>
          <w:rFonts w:ascii="Arial" w:hAnsi="Arial" w:cs="Arial"/>
          <w:sz w:val="20"/>
          <w:szCs w:val="20"/>
        </w:rPr>
      </w:r>
      <w:r w:rsidR="005A414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5A414D">
        <w:rPr>
          <w:rFonts w:ascii="Arial" w:hAnsi="Arial" w:cs="Arial"/>
          <w:sz w:val="20"/>
          <w:szCs w:val="20"/>
        </w:rPr>
      </w:r>
      <w:r w:rsidR="005A414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:rsidTr="00B15D1D">
        <w:trPr>
          <w:trHeight w:val="767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46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412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04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lastRenderedPageBreak/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:rsidTr="004516F4">
        <w:trPr>
          <w:trHeight w:val="767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46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412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04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4D" w:rsidRDefault="005A414D" w:rsidP="00A6104B">
      <w:pPr>
        <w:spacing w:after="0" w:line="240" w:lineRule="auto"/>
      </w:pPr>
      <w:r>
        <w:separator/>
      </w:r>
    </w:p>
  </w:endnote>
  <w:endnote w:type="continuationSeparator" w:id="0">
    <w:p w:rsidR="005A414D" w:rsidRDefault="005A414D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03FDE" w:rsidRPr="00F900A4" w:rsidRDefault="00403FDE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C49DA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C49DA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403FDE" w:rsidRPr="0074638C" w:rsidRDefault="00403FDE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4D" w:rsidRDefault="005A414D" w:rsidP="00A6104B">
      <w:pPr>
        <w:spacing w:after="0" w:line="240" w:lineRule="auto"/>
      </w:pPr>
      <w:r>
        <w:separator/>
      </w:r>
    </w:p>
  </w:footnote>
  <w:footnote w:type="continuationSeparator" w:id="0">
    <w:p w:rsidR="005A414D" w:rsidRDefault="005A414D" w:rsidP="00A6104B">
      <w:pPr>
        <w:spacing w:after="0" w:line="240" w:lineRule="auto"/>
      </w:pPr>
      <w:r>
        <w:continuationSeparator/>
      </w:r>
    </w:p>
  </w:footnote>
  <w:footnote w:id="1">
    <w:p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DE" w:rsidRPr="00614C5B" w:rsidRDefault="00403FDE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1" w:cryptProviderType="rsaAES" w:cryptAlgorithmClass="hash" w:cryptAlgorithmType="typeAny" w:cryptAlgorithmSid="14" w:cryptSpinCount="100000" w:hash="2pr7bhoal4U4IhXxGZL76ECxeJdTc605y8502C90vrBeVhOyd5U8vXDwwaPFcItUB9hD+RaIfp8tjRsbSHjwkg==" w:salt="w0u77yl5q/NFvSi6FOcAC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732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193D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60EC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14D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42A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D673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17032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4E40"/>
    <w:rsid w:val="00FB5D87"/>
    <w:rsid w:val="00FB7BA4"/>
    <w:rsid w:val="00FC1DDD"/>
    <w:rsid w:val="00FC37D5"/>
    <w:rsid w:val="00FC49DA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99D8-F2B8-46AD-A5A3-2F8E8E2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14</cp:revision>
  <cp:lastPrinted>2015-07-15T17:08:00Z</cp:lastPrinted>
  <dcterms:created xsi:type="dcterms:W3CDTF">2017-11-20T16:39:00Z</dcterms:created>
  <dcterms:modified xsi:type="dcterms:W3CDTF">2019-12-20T15:38:00Z</dcterms:modified>
</cp:coreProperties>
</file>