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B8305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83057">
        <w:rPr>
          <w:rFonts w:ascii="Tahoma" w:hAnsi="Tahoma" w:cs="Tahoma"/>
          <w:b/>
          <w:sz w:val="20"/>
          <w:szCs w:val="20"/>
        </w:rPr>
        <w:t xml:space="preserve">DICHIARAZIONE SOGGETTI ART. 38, COMMA 1, LETTERE B </w:t>
      </w:r>
      <w:r w:rsidR="00322504">
        <w:rPr>
          <w:rFonts w:ascii="Tahoma" w:hAnsi="Tahoma" w:cs="Tahoma"/>
          <w:b/>
          <w:sz w:val="20"/>
          <w:szCs w:val="20"/>
        </w:rPr>
        <w:t>,</w:t>
      </w:r>
      <w:r w:rsidRPr="00B83057">
        <w:rPr>
          <w:rFonts w:ascii="Tahoma" w:hAnsi="Tahoma" w:cs="Tahoma"/>
          <w:b/>
          <w:sz w:val="20"/>
          <w:szCs w:val="20"/>
        </w:rPr>
        <w:t xml:space="preserve"> C </w:t>
      </w:r>
      <w:r w:rsidR="00322504">
        <w:rPr>
          <w:rFonts w:ascii="Tahoma" w:hAnsi="Tahoma" w:cs="Tahoma"/>
          <w:b/>
          <w:sz w:val="20"/>
          <w:szCs w:val="20"/>
        </w:rPr>
        <w:t xml:space="preserve">e M-TER </w:t>
      </w:r>
      <w:r w:rsidRPr="00B83057">
        <w:rPr>
          <w:rFonts w:ascii="Tahoma" w:hAnsi="Tahoma" w:cs="Tahoma"/>
          <w:b/>
          <w:sz w:val="20"/>
          <w:szCs w:val="20"/>
        </w:rPr>
        <w:t>DEL D.LGS. 12 APRILE 2006, N. 163</w:t>
      </w:r>
      <w:r w:rsidR="000E32D3">
        <w:rPr>
          <w:rFonts w:ascii="Tahoma" w:hAnsi="Tahoma" w:cs="Tahoma"/>
          <w:b/>
          <w:sz w:val="20"/>
          <w:szCs w:val="20"/>
        </w:rPr>
        <w:t>*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5167F6" w:rsidRDefault="00A6104B" w:rsidP="005167F6">
      <w:pPr>
        <w:spacing w:before="120" w:after="0" w:line="240" w:lineRule="auto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5167F6">
        <w:rPr>
          <w:rFonts w:ascii="Tahoma" w:hAnsi="Tahoma" w:cs="Tahoma"/>
          <w:b/>
          <w:i/>
          <w:sz w:val="20"/>
          <w:szCs w:val="20"/>
        </w:rPr>
        <w:t xml:space="preserve">  </w:t>
      </w:r>
      <w:r w:rsidR="00CC7512" w:rsidRPr="00F900A4">
        <w:rPr>
          <w:rFonts w:ascii="Tahoma" w:hAnsi="Tahoma" w:cs="Tahoma"/>
          <w:b/>
          <w:i/>
          <w:sz w:val="20"/>
          <w:szCs w:val="20"/>
        </w:rPr>
        <w:t xml:space="preserve">Procedura aperta, in modalità telematica, </w:t>
      </w:r>
      <w:r w:rsidR="005167F6" w:rsidRPr="005167F6">
        <w:rPr>
          <w:rFonts w:ascii="Tahoma" w:hAnsi="Tahoma" w:cs="Tahoma"/>
          <w:b/>
          <w:i/>
          <w:sz w:val="20"/>
          <w:szCs w:val="20"/>
        </w:rPr>
        <w:t>per l’affidamento del servizio di conduzione e  manutenzione degli impianti tecnologici inclusi lavori manut</w:t>
      </w:r>
      <w:r w:rsidR="005167F6">
        <w:rPr>
          <w:rFonts w:ascii="Tahoma" w:hAnsi="Tahoma" w:cs="Tahoma"/>
          <w:b/>
          <w:i/>
          <w:sz w:val="20"/>
          <w:szCs w:val="20"/>
        </w:rPr>
        <w:t>entivi straordinari, presso lo Stadio Olimpico in R</w:t>
      </w:r>
      <w:r w:rsidR="005167F6" w:rsidRPr="005167F6">
        <w:rPr>
          <w:rFonts w:ascii="Tahoma" w:hAnsi="Tahoma" w:cs="Tahoma"/>
          <w:b/>
          <w:i/>
          <w:sz w:val="20"/>
          <w:szCs w:val="20"/>
        </w:rPr>
        <w:t>oma. R.A. 024/15/PA</w:t>
      </w:r>
      <w:r w:rsidR="005167F6">
        <w:rPr>
          <w:rFonts w:ascii="Tahoma" w:hAnsi="Tahoma" w:cs="Tahoma"/>
          <w:b/>
          <w:i/>
          <w:sz w:val="20"/>
          <w:szCs w:val="20"/>
        </w:rPr>
        <w:t xml:space="preserve">. </w:t>
      </w:r>
      <w:r w:rsidR="005167F6" w:rsidRPr="005167F6">
        <w:rPr>
          <w:rFonts w:ascii="Tahoma" w:hAnsi="Tahoma" w:cs="Tahoma"/>
          <w:b/>
          <w:i/>
          <w:sz w:val="20"/>
          <w:szCs w:val="20"/>
        </w:rPr>
        <w:t>CIG: 618212421D</w:t>
      </w:r>
    </w:p>
    <w:p w:rsidR="005167F6" w:rsidRPr="005167F6" w:rsidRDefault="005167F6" w:rsidP="005167F6">
      <w:pPr>
        <w:spacing w:before="120" w:after="0" w:line="240" w:lineRule="auto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</w:p>
    <w:p w:rsidR="000E32D3" w:rsidRPr="00257B06" w:rsidRDefault="000E32D3" w:rsidP="005167F6">
      <w:pPr>
        <w:tabs>
          <w:tab w:val="left" w:pos="2835"/>
        </w:tabs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*N.B. </w:t>
      </w:r>
      <w:r w:rsidR="005167F6">
        <w:rPr>
          <w:rFonts w:ascii="Tahoma" w:hAnsi="Tahoma" w:cs="Tahoma"/>
          <w:sz w:val="20"/>
          <w:szCs w:val="20"/>
        </w:rPr>
        <w:t xml:space="preserve"> </w:t>
      </w:r>
      <w:r w:rsidRPr="000E32D3">
        <w:rPr>
          <w:rFonts w:ascii="Tahoma" w:hAnsi="Tahoma" w:cs="Tahoma"/>
          <w:sz w:val="20"/>
          <w:szCs w:val="20"/>
        </w:rPr>
        <w:t xml:space="preserve">La produzione dell’Allegato B da parte dei soggetti </w:t>
      </w:r>
      <w:r w:rsidR="000B3080">
        <w:rPr>
          <w:rFonts w:ascii="Tahoma" w:hAnsi="Tahoma" w:cs="Tahoma"/>
          <w:sz w:val="20"/>
          <w:szCs w:val="20"/>
        </w:rPr>
        <w:t>di seguito indicati</w:t>
      </w:r>
      <w:r w:rsidRPr="000E32D3">
        <w:rPr>
          <w:rFonts w:ascii="Tahoma" w:hAnsi="Tahoma" w:cs="Tahoma"/>
          <w:sz w:val="20"/>
          <w:szCs w:val="20"/>
        </w:rPr>
        <w:t xml:space="preserve"> è prevista qualora il soggetto che sottoscrive la dichiarazione di cui all’Allegato A</w:t>
      </w:r>
      <w:r w:rsidR="004F696B">
        <w:rPr>
          <w:rFonts w:ascii="Tahoma" w:hAnsi="Tahoma" w:cs="Tahoma"/>
          <w:sz w:val="20"/>
          <w:szCs w:val="20"/>
        </w:rPr>
        <w:t>o</w:t>
      </w:r>
      <w:r w:rsidR="00556CB5">
        <w:rPr>
          <w:rFonts w:ascii="Tahoma" w:hAnsi="Tahoma" w:cs="Tahoma"/>
          <w:sz w:val="20"/>
          <w:szCs w:val="20"/>
        </w:rPr>
        <w:t>D</w:t>
      </w:r>
      <w:r w:rsidRPr="000E32D3">
        <w:rPr>
          <w:rFonts w:ascii="Tahoma" w:hAnsi="Tahoma" w:cs="Tahoma"/>
          <w:sz w:val="20"/>
          <w:szCs w:val="20"/>
        </w:rPr>
        <w:t xml:space="preserve"> renda la stess</w:t>
      </w:r>
      <w:r>
        <w:rPr>
          <w:rFonts w:ascii="Tahoma" w:hAnsi="Tahoma" w:cs="Tahoma"/>
          <w:sz w:val="20"/>
          <w:szCs w:val="20"/>
        </w:rPr>
        <w:t>a</w:t>
      </w:r>
      <w:r w:rsidRPr="00257B06">
        <w:rPr>
          <w:rFonts w:ascii="Tahoma" w:hAnsi="Tahoma" w:cs="Tahoma"/>
          <w:sz w:val="20"/>
          <w:szCs w:val="20"/>
          <w:u w:val="single"/>
        </w:rPr>
        <w:t>esclusivamente nei propri confronti.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B83057" w:rsidRPr="00697761" w:rsidTr="00AC33C3">
        <w:trPr>
          <w:jc w:val="center"/>
        </w:trPr>
        <w:tc>
          <w:tcPr>
            <w:tcW w:w="2051" w:type="dxa"/>
            <w:gridSpan w:val="3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bookmarkStart w:id="0" w:name="Testo298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83057" w:rsidRPr="00697761" w:rsidTr="00AC33C3">
        <w:trPr>
          <w:jc w:val="center"/>
        </w:trPr>
        <w:tc>
          <w:tcPr>
            <w:tcW w:w="1134" w:type="dxa"/>
            <w:gridSpan w:val="2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1905" w:type="dxa"/>
            <w:gridSpan w:val="3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bookmarkStart w:id="1" w:name="Testo299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12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(</w:t>
            </w:r>
            <w:r w:rsidR="002855AF" w:rsidRPr="00697761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bookmarkStart w:id="2" w:name="Testo300"/>
            <w:r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="002855AF" w:rsidRPr="00697761">
              <w:rPr>
                <w:rFonts w:ascii="Arial" w:hAnsi="Arial" w:cs="Arial"/>
                <w:b/>
              </w:rPr>
            </w:r>
            <w:r w:rsidR="002855AF" w:rsidRPr="00697761">
              <w:rPr>
                <w:rFonts w:ascii="Arial" w:hAnsi="Arial" w:cs="Arial"/>
                <w:b/>
              </w:rPr>
              <w:fldChar w:fldCharType="separate"/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  <w:noProof/>
              </w:rPr>
              <w:t> </w:t>
            </w:r>
            <w:r w:rsidR="002855AF" w:rsidRPr="00697761">
              <w:rPr>
                <w:rFonts w:ascii="Arial" w:hAnsi="Arial" w:cs="Arial"/>
                <w:b/>
              </w:rPr>
              <w:fldChar w:fldCharType="end"/>
            </w:r>
            <w:bookmarkEnd w:id="2"/>
            <w:r w:rsidRPr="006977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bookmarkStart w:id="3" w:name="Testo301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3"/>
            <w:r w:rsidR="00B83057" w:rsidRPr="00697761">
              <w:rPr>
                <w:rFonts w:ascii="Arial" w:hAnsi="Arial" w:cs="Arial"/>
                <w:b/>
              </w:rPr>
              <w:t>/</w:t>
            </w: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bookmarkStart w:id="4" w:name="Testo302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4"/>
            <w:r w:rsidR="00B83057" w:rsidRPr="00697761">
              <w:rPr>
                <w:rFonts w:ascii="Arial" w:hAnsi="Arial" w:cs="Arial"/>
                <w:b/>
              </w:rPr>
              <w:t>/</w:t>
            </w: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bookmarkStart w:id="5" w:name="Testo303"/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="00B83057" w:rsidRPr="00697761">
              <w:rPr>
                <w:rFonts w:ascii="Arial" w:hAnsi="Arial" w:cs="Arial"/>
                <w:b/>
                <w:noProof/>
              </w:rPr>
              <w:t> 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83057" w:rsidRPr="00697761" w:rsidTr="00AC33C3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In qualità di (</w:t>
            </w:r>
            <w:r w:rsidRPr="00697761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697761">
              <w:rPr>
                <w:rFonts w:ascii="Arial" w:hAnsi="Arial" w:cs="Arial"/>
                <w:b/>
              </w:rPr>
              <w:t>):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64"/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Titolare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Direttore tecnico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 unico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Socio di maggioranza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Soggetto cessato dalla carica</w:t>
            </w:r>
            <w:r w:rsidR="00B4301C">
              <w:rPr>
                <w:rStyle w:val="Rimandonotaapidipagina"/>
                <w:rFonts w:ascii="Arial" w:hAnsi="Arial" w:cs="Arial"/>
                <w:b/>
              </w:rPr>
              <w:footnoteReference w:id="2"/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816" w:type="dxa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FORMCHECKBOX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B83057" w:rsidRPr="00697761" w:rsidRDefault="00B83057" w:rsidP="00880DB6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t>Altro (</w:t>
            </w:r>
            <w:r w:rsidRPr="00697761">
              <w:rPr>
                <w:rFonts w:ascii="Arial" w:hAnsi="Arial" w:cs="Arial"/>
                <w:b/>
                <w:i/>
              </w:rPr>
              <w:t>Indicare</w:t>
            </w:r>
            <w:r w:rsidRPr="00697761">
              <w:rPr>
                <w:rFonts w:ascii="Arial" w:hAnsi="Arial" w:cs="Arial"/>
                <w:b/>
              </w:rPr>
              <w:t>)</w:t>
            </w:r>
            <w:r w:rsidR="00322504">
              <w:rPr>
                <w:rStyle w:val="Rimandonotaapidipagina"/>
                <w:rFonts w:ascii="Arial" w:hAnsi="Arial" w:cs="Arial"/>
                <w:b/>
              </w:rPr>
              <w:footnoteReference w:id="3"/>
            </w:r>
            <w:r w:rsidRPr="00697761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83057" w:rsidRPr="00697761" w:rsidTr="00AC33C3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B83057" w:rsidRPr="00697761" w:rsidRDefault="00B83057" w:rsidP="00AC33C3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lastRenderedPageBreak/>
              <w:t>dell’Impresa:</w:t>
            </w:r>
          </w:p>
        </w:tc>
        <w:bookmarkStart w:id="7" w:name="Testo289"/>
        <w:tc>
          <w:tcPr>
            <w:tcW w:w="7408" w:type="dxa"/>
            <w:gridSpan w:val="5"/>
            <w:vAlign w:val="center"/>
          </w:tcPr>
          <w:p w:rsidR="00B83057" w:rsidRPr="00697761" w:rsidRDefault="002855AF" w:rsidP="00AC33C3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697761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B83057" w:rsidRPr="00697761">
              <w:rPr>
                <w:rFonts w:ascii="Arial" w:hAnsi="Arial" w:cs="Arial"/>
                <w:b/>
              </w:rPr>
              <w:instrText xml:space="preserve"> FORMTEXT </w:instrText>
            </w:r>
            <w:r w:rsidRPr="00697761">
              <w:rPr>
                <w:rFonts w:ascii="Arial" w:hAnsi="Arial" w:cs="Arial"/>
                <w:b/>
              </w:rPr>
            </w:r>
            <w:r w:rsidRPr="00697761">
              <w:rPr>
                <w:rFonts w:ascii="Arial" w:hAnsi="Arial" w:cs="Arial"/>
                <w:b/>
              </w:rPr>
              <w:fldChar w:fldCharType="separate"/>
            </w:r>
            <w:r w:rsidR="00B83057" w:rsidRPr="00697761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697761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0E32D3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E32D3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322504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 xml:space="preserve">, </w:t>
      </w:r>
    </w:p>
    <w:p w:rsidR="00A6104B" w:rsidRDefault="00A6104B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0E32D3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E32D3">
      <w:pPr>
        <w:spacing w:before="120" w:after="60" w:line="360" w:lineRule="auto"/>
        <w:ind w:left="924" w:firstLine="1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4F696B">
      <w:pPr>
        <w:pStyle w:val="Paragrafoelenco"/>
        <w:numPr>
          <w:ilvl w:val="0"/>
          <w:numId w:val="34"/>
        </w:numP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E32D3">
        <w:rPr>
          <w:rFonts w:ascii="Tahoma" w:hAnsi="Tahoma" w:cs="Tahoma"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0E32D3">
        <w:rPr>
          <w:rFonts w:ascii="Tahoma" w:hAnsi="Tahoma" w:cs="Tahoma"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 w:rsidRPr="000E32D3">
        <w:rPr>
          <w:rFonts w:ascii="Tahoma" w:hAnsi="Tahoma" w:cs="Tahoma"/>
          <w:sz w:val="20"/>
          <w:szCs w:val="20"/>
        </w:rPr>
        <w:t xml:space="preserve"> e/o sono stati emessi i decreti penali di </w:t>
      </w:r>
      <w:r w:rsidR="003A06FD" w:rsidRPr="000E32D3">
        <w:rPr>
          <w:rFonts w:ascii="Tahoma" w:hAnsi="Tahoma" w:cs="Tahoma"/>
          <w:sz w:val="20"/>
          <w:szCs w:val="20"/>
        </w:rPr>
        <w:t>condanna</w:t>
      </w:r>
      <w:r w:rsidR="003A06FD">
        <w:rPr>
          <w:rFonts w:ascii="Tahoma" w:hAnsi="Tahoma" w:cs="Tahoma"/>
          <w:iCs/>
          <w:sz w:val="20"/>
          <w:szCs w:val="20"/>
        </w:rPr>
        <w:t xml:space="preserve">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4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69"/>
        <w:gridCol w:w="4226"/>
      </w:tblGrid>
      <w:tr w:rsidR="00A6104B" w:rsidRPr="00F900A4" w:rsidTr="000E32D3">
        <w:tc>
          <w:tcPr>
            <w:tcW w:w="311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9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6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0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26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1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2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3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26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4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5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6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26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7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8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9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0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F900A4" w:rsidTr="000E32D3">
        <w:trPr>
          <w:trHeight w:val="567"/>
        </w:trPr>
        <w:tc>
          <w:tcPr>
            <w:tcW w:w="311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1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69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2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226" w:type="dxa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3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F900A4" w:rsidTr="000E32D3">
        <w:trPr>
          <w:trHeight w:val="567"/>
        </w:trPr>
        <w:tc>
          <w:tcPr>
            <w:tcW w:w="9214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0E32D3">
        <w:trPr>
          <w:trHeight w:val="567"/>
        </w:trPr>
        <w:tc>
          <w:tcPr>
            <w:tcW w:w="9214" w:type="dxa"/>
            <w:gridSpan w:val="3"/>
          </w:tcPr>
          <w:p w:rsidR="00A6104B" w:rsidRPr="00F900A4" w:rsidRDefault="002855A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E32D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Default="00126249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0E32D3" w:rsidRPr="000E32D3" w:rsidTr="00AC33C3">
        <w:trPr>
          <w:trHeight w:val="555"/>
        </w:trPr>
        <w:tc>
          <w:tcPr>
            <w:tcW w:w="1559" w:type="pct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0E32D3" w:rsidRPr="000E32D3" w:rsidTr="00AC33C3">
        <w:trPr>
          <w:trHeight w:val="510"/>
        </w:trPr>
        <w:tc>
          <w:tcPr>
            <w:tcW w:w="1559" w:type="pct"/>
            <w:vAlign w:val="center"/>
          </w:tcPr>
          <w:p w:rsidR="000E32D3" w:rsidRPr="000E32D3" w:rsidRDefault="002855AF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0E32D3" w:rsidRPr="000E32D3" w:rsidRDefault="002855AF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2D3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E32D3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695800" w:rsidRPr="000E32D3" w:rsidRDefault="00695800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32D3" w:rsidRPr="000E32D3" w:rsidRDefault="000E32D3" w:rsidP="00695800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0E32D3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0E32D3" w:rsidRPr="000E32D3" w:rsidRDefault="000E32D3" w:rsidP="00695800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2855AF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2855AF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2855AF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2855AF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E32D3" w:rsidRDefault="000E32D3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</w:p>
    <w:sectPr w:rsidR="000E32D3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CD" w:rsidRDefault="007338CD" w:rsidP="00A6104B">
      <w:pPr>
        <w:spacing w:after="0" w:line="240" w:lineRule="auto"/>
      </w:pPr>
      <w:r>
        <w:separator/>
      </w:r>
    </w:p>
  </w:endnote>
  <w:endnote w:type="continuationSeparator" w:id="1">
    <w:p w:rsidR="007338CD" w:rsidRDefault="007338C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657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657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2855A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CD" w:rsidRDefault="007338CD" w:rsidP="00A6104B">
      <w:pPr>
        <w:spacing w:after="0" w:line="240" w:lineRule="auto"/>
      </w:pPr>
      <w:r>
        <w:separator/>
      </w:r>
    </w:p>
  </w:footnote>
  <w:footnote w:type="continuationSeparator" w:id="1">
    <w:p w:rsidR="007338CD" w:rsidRDefault="007338CD" w:rsidP="00A6104B">
      <w:pPr>
        <w:spacing w:after="0" w:line="240" w:lineRule="auto"/>
      </w:pPr>
      <w:r>
        <w:continuationSeparator/>
      </w:r>
    </w:p>
  </w:footnote>
  <w:footnote w:id="2">
    <w:p w:rsidR="00B4301C" w:rsidRPr="00880DB6" w:rsidRDefault="00B4301C">
      <w:pPr>
        <w:pStyle w:val="Testonotaapidipagina"/>
      </w:pPr>
      <w:r w:rsidRPr="00B4301C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B4301C">
        <w:rPr>
          <w:rFonts w:ascii="Tahoma" w:hAnsi="Tahoma" w:cs="Tahoma"/>
          <w:sz w:val="18"/>
          <w:szCs w:val="18"/>
        </w:rPr>
        <w:t xml:space="preserve">Si evidenzia che per tali soggetti verrà esclusivamente considerata  la dichiarazione relativa alla causa di esclusione di cui </w:t>
      </w:r>
      <w:r>
        <w:rPr>
          <w:rFonts w:ascii="Tahoma" w:hAnsi="Tahoma" w:cs="Tahoma"/>
          <w:sz w:val="18"/>
          <w:szCs w:val="18"/>
        </w:rPr>
        <w:t>al successivo punto 2.</w:t>
      </w:r>
      <w:r w:rsidR="00FD6D6E">
        <w:rPr>
          <w:rFonts w:ascii="Tahoma" w:hAnsi="Tahoma" w:cs="Tahoma"/>
          <w:sz w:val="18"/>
          <w:szCs w:val="18"/>
        </w:rPr>
        <w:t xml:space="preserve"> Si ricorda che per </w:t>
      </w:r>
      <w:r w:rsidR="00FD6D6E" w:rsidRPr="00FD6D6E">
        <w:rPr>
          <w:rFonts w:ascii="Tahoma" w:hAnsi="Tahoma" w:cs="Tahoma"/>
          <w:sz w:val="18"/>
          <w:szCs w:val="18"/>
        </w:rPr>
        <w:t xml:space="preserve">soggetti cessati dalla carica </w:t>
      </w:r>
      <w:r w:rsidR="00FD6D6E">
        <w:rPr>
          <w:rFonts w:ascii="Tahoma" w:hAnsi="Tahoma" w:cs="Tahoma"/>
          <w:sz w:val="18"/>
          <w:szCs w:val="18"/>
        </w:rPr>
        <w:t xml:space="preserve">si intendono quelli cessati </w:t>
      </w:r>
      <w:r w:rsidR="00FD6D6E" w:rsidRPr="00FD6D6E">
        <w:rPr>
          <w:rFonts w:ascii="Tahoma" w:hAnsi="Tahoma" w:cs="Tahoma"/>
          <w:sz w:val="18"/>
          <w:szCs w:val="18"/>
        </w:rPr>
        <w:t>nell’anno antecedente la pubblicazione del bando di gara e comunque sino alla data di presentazione dell’offerta.</w:t>
      </w:r>
      <w:r w:rsidR="00FD6D6E">
        <w:rPr>
          <w:rFonts w:ascii="Tahoma" w:hAnsi="Tahoma" w:cs="Tahoma"/>
          <w:sz w:val="18"/>
          <w:szCs w:val="18"/>
        </w:rPr>
        <w:t xml:space="preserve"> Per maggiori dettagli si rinvia al Disciplinare di gara.</w:t>
      </w:r>
    </w:p>
  </w:footnote>
  <w:footnote w:id="3">
    <w:p w:rsidR="00322504" w:rsidRPr="00880DB6" w:rsidRDefault="00322504" w:rsidP="00322504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 w:rsidRPr="00880DB6">
        <w:rPr>
          <w:rFonts w:ascii="Tahoma" w:hAnsi="Tahoma" w:cs="Tahoma"/>
          <w:sz w:val="18"/>
          <w:szCs w:val="18"/>
        </w:rPr>
        <w:t>Esempio: i titolari di poteri institori ex art. 2203 c.c.; i procuratori muniti di poteri decisionali di particolare ampiezza e riferiti ad una pluralità di soggetti così che, per sommatoria, possano configurarsi omologhi, se non di spessore superiore, a quelli che lo statuto assegna agli amministratori; ecc.</w:t>
      </w:r>
    </w:p>
  </w:footnote>
  <w:footnote w:id="4">
    <w:p w:rsidR="006762BD" w:rsidRPr="00002B24" w:rsidRDefault="006762B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="004F696B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  <w:r w:rsidR="00322504">
        <w:rPr>
          <w:rFonts w:ascii="Tahoma" w:hAnsi="Tahoma" w:cs="Tahoma"/>
          <w:sz w:val="18"/>
          <w:szCs w:val="18"/>
        </w:rPr>
        <w:t xml:space="preserve"> E’ necessario indicare</w:t>
      </w:r>
      <w:r w:rsidR="00FD6D6E" w:rsidRPr="00FD6D6E">
        <w:rPr>
          <w:rFonts w:ascii="Tahoma" w:hAnsi="Tahoma" w:cs="Tahoma"/>
          <w:sz w:val="18"/>
          <w:szCs w:val="18"/>
        </w:rPr>
        <w:t>, allegando ogni documentazione utile, tutti i provvedimenti di condanna passati in giudicato compresi quelli per cui si sia beneficiato della non menzione, riferiti a qu</w:t>
      </w:r>
      <w:r w:rsidR="00FD6D6E">
        <w:rPr>
          <w:rFonts w:ascii="Tahoma" w:hAnsi="Tahoma" w:cs="Tahoma"/>
          <w:sz w:val="18"/>
          <w:szCs w:val="18"/>
        </w:rPr>
        <w:t>alsivoglia fattispecie di reato</w:t>
      </w:r>
      <w:r w:rsidR="00322504">
        <w:rPr>
          <w:rFonts w:ascii="Tahoma" w:hAnsi="Tahoma" w:cs="Tahoma"/>
          <w:sz w:val="18"/>
          <w:szCs w:val="18"/>
        </w:rPr>
        <w:t>; sarà compito del Coni Servizi valutare l’</w:t>
      </w:r>
      <w:r w:rsidR="00FD6D6E">
        <w:rPr>
          <w:rFonts w:ascii="Tahoma" w:hAnsi="Tahoma" w:cs="Tahoma"/>
          <w:sz w:val="18"/>
          <w:szCs w:val="18"/>
        </w:rPr>
        <w:t xml:space="preserve">incidenza del reato </w:t>
      </w:r>
      <w:r w:rsidR="00322504">
        <w:rPr>
          <w:rFonts w:ascii="Tahoma" w:hAnsi="Tahoma" w:cs="Tahoma"/>
          <w:sz w:val="18"/>
          <w:szCs w:val="18"/>
        </w:rPr>
        <w:t xml:space="preserve">sulla moralità professionale come previsto nell’art. </w:t>
      </w:r>
      <w:r w:rsidR="00FD6D6E">
        <w:rPr>
          <w:rFonts w:ascii="Tahoma" w:hAnsi="Tahoma" w:cs="Tahoma"/>
          <w:sz w:val="18"/>
          <w:szCs w:val="18"/>
        </w:rPr>
        <w:t>38, comma 1</w:t>
      </w:r>
      <w:r w:rsidR="00322504">
        <w:rPr>
          <w:rFonts w:ascii="Tahoma" w:hAnsi="Tahoma" w:cs="Tahoma"/>
          <w:sz w:val="18"/>
          <w:szCs w:val="18"/>
        </w:rPr>
        <w:t>, lett. b, D. Lgs. 163/2006</w:t>
      </w:r>
      <w:bookmarkStart w:id="8" w:name="_GoBack"/>
      <w:bookmarkEnd w:id="8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CC7512" w:rsidRDefault="006762B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 w:rsidR="00B83057">
      <w:rPr>
        <w:rFonts w:ascii="Tahoma" w:hAnsi="Tahoma" w:cs="Tahoma"/>
        <w:b/>
        <w:noProof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DD974AE"/>
    <w:multiLevelType w:val="hybridMultilevel"/>
    <w:tmpl w:val="E10C3D98"/>
    <w:lvl w:ilvl="0" w:tplc="19FC1F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99008F"/>
    <w:multiLevelType w:val="hybridMultilevel"/>
    <w:tmpl w:val="36D86806"/>
    <w:lvl w:ilvl="0" w:tplc="B15C92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626E2"/>
    <w:multiLevelType w:val="hybridMultilevel"/>
    <w:tmpl w:val="C0727E1E"/>
    <w:lvl w:ilvl="0" w:tplc="3710E616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2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2"/>
  </w:num>
  <w:num w:numId="26">
    <w:abstractNumId w:val="6"/>
  </w:num>
  <w:num w:numId="27">
    <w:abstractNumId w:val="31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28"/>
  </w:num>
  <w:num w:numId="33">
    <w:abstractNumId w:val="16"/>
  </w:num>
  <w:num w:numId="34">
    <w:abstractNumId w:val="27"/>
  </w:num>
  <w:num w:numId="35">
    <w:abstractNumId w:val="26"/>
  </w:num>
  <w:num w:numId="3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50000" w:hash="R4kdgUtUZ8h58dBgmtsYzO+49nI=" w:salt="ogAOpdRYiW1v7QGYE6wp+w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F72"/>
    <w:rsid w:val="00002B24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4AB4"/>
    <w:rsid w:val="00035EB3"/>
    <w:rsid w:val="0003707C"/>
    <w:rsid w:val="000374D2"/>
    <w:rsid w:val="0004285A"/>
    <w:rsid w:val="000436EF"/>
    <w:rsid w:val="00043AAB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080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9E"/>
    <w:rsid w:val="000E18A7"/>
    <w:rsid w:val="000E32D3"/>
    <w:rsid w:val="000E4200"/>
    <w:rsid w:val="000E43F8"/>
    <w:rsid w:val="000E459A"/>
    <w:rsid w:val="000E59DA"/>
    <w:rsid w:val="000E613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33D3"/>
    <w:rsid w:val="001765A2"/>
    <w:rsid w:val="00177F4A"/>
    <w:rsid w:val="00182826"/>
    <w:rsid w:val="00185724"/>
    <w:rsid w:val="00186126"/>
    <w:rsid w:val="0019345D"/>
    <w:rsid w:val="001A2788"/>
    <w:rsid w:val="001A4190"/>
    <w:rsid w:val="001A4971"/>
    <w:rsid w:val="001A68C6"/>
    <w:rsid w:val="001A7257"/>
    <w:rsid w:val="001B71A8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DEF"/>
    <w:rsid w:val="00210E4B"/>
    <w:rsid w:val="00214521"/>
    <w:rsid w:val="002161A6"/>
    <w:rsid w:val="00216E60"/>
    <w:rsid w:val="00221ED3"/>
    <w:rsid w:val="00227227"/>
    <w:rsid w:val="00230E31"/>
    <w:rsid w:val="0023106C"/>
    <w:rsid w:val="002337FF"/>
    <w:rsid w:val="00235499"/>
    <w:rsid w:val="002360F7"/>
    <w:rsid w:val="00257B06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5AF"/>
    <w:rsid w:val="00287085"/>
    <w:rsid w:val="00287347"/>
    <w:rsid w:val="00290ECD"/>
    <w:rsid w:val="00293289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2504"/>
    <w:rsid w:val="00324991"/>
    <w:rsid w:val="003310B9"/>
    <w:rsid w:val="00332430"/>
    <w:rsid w:val="003328CA"/>
    <w:rsid w:val="003362D7"/>
    <w:rsid w:val="003372F1"/>
    <w:rsid w:val="0034102E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07E1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57FC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20F6"/>
    <w:rsid w:val="0046347A"/>
    <w:rsid w:val="004647C6"/>
    <w:rsid w:val="00466604"/>
    <w:rsid w:val="004729FD"/>
    <w:rsid w:val="004753F9"/>
    <w:rsid w:val="00477EDB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696B"/>
    <w:rsid w:val="00511131"/>
    <w:rsid w:val="005123EE"/>
    <w:rsid w:val="00512B31"/>
    <w:rsid w:val="005167F6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3409"/>
    <w:rsid w:val="00556140"/>
    <w:rsid w:val="00556720"/>
    <w:rsid w:val="00556A23"/>
    <w:rsid w:val="00556CB5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800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8CD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0DB6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4B40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6B72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93F"/>
    <w:rsid w:val="00AC7BD4"/>
    <w:rsid w:val="00AD0991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301C"/>
    <w:rsid w:val="00B459BB"/>
    <w:rsid w:val="00B46C13"/>
    <w:rsid w:val="00B60E88"/>
    <w:rsid w:val="00B62AD6"/>
    <w:rsid w:val="00B6555E"/>
    <w:rsid w:val="00B6578F"/>
    <w:rsid w:val="00B67D3C"/>
    <w:rsid w:val="00B702E1"/>
    <w:rsid w:val="00B712CF"/>
    <w:rsid w:val="00B82414"/>
    <w:rsid w:val="00B83057"/>
    <w:rsid w:val="00B83F77"/>
    <w:rsid w:val="00B911B2"/>
    <w:rsid w:val="00B92E9F"/>
    <w:rsid w:val="00BA1669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43C40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187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952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86A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513A"/>
    <w:rsid w:val="00FB5D87"/>
    <w:rsid w:val="00FB7BA4"/>
    <w:rsid w:val="00FC1DDD"/>
    <w:rsid w:val="00FC37D5"/>
    <w:rsid w:val="00FC4C9D"/>
    <w:rsid w:val="00FD26F2"/>
    <w:rsid w:val="00FD4A14"/>
    <w:rsid w:val="00FD6D6E"/>
    <w:rsid w:val="00FD736A"/>
    <w:rsid w:val="00FE13E2"/>
    <w:rsid w:val="00FE1BF8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B9AE-60B6-4682-AD34-51DB496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 </cp:lastModifiedBy>
  <cp:revision>15</cp:revision>
  <cp:lastPrinted>2014-06-04T14:17:00Z</cp:lastPrinted>
  <dcterms:created xsi:type="dcterms:W3CDTF">2014-10-31T15:13:00Z</dcterms:created>
  <dcterms:modified xsi:type="dcterms:W3CDTF">2015-03-21T15:19:00Z</dcterms:modified>
</cp:coreProperties>
</file>